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7CF" w:rsidRDefault="00DD67CF" w:rsidP="00DD67CF">
      <w:pPr>
        <w:spacing w:line="256" w:lineRule="auto"/>
        <w:jc w:val="center"/>
        <w:rPr>
          <w:rFonts w:asciiTheme="majorHAnsi" w:eastAsiaTheme="minorHAnsi" w:hAnsiTheme="majorHAnsi" w:cstheme="minorBidi"/>
          <w:i/>
        </w:rPr>
      </w:pPr>
    </w:p>
    <w:p w:rsidR="00180461" w:rsidRDefault="00180461" w:rsidP="00DD67CF">
      <w:pPr>
        <w:spacing w:line="256" w:lineRule="auto"/>
        <w:jc w:val="center"/>
        <w:rPr>
          <w:rFonts w:asciiTheme="majorHAnsi" w:eastAsiaTheme="minorHAnsi" w:hAnsiTheme="majorHAnsi" w:cstheme="minorBidi"/>
          <w:i/>
        </w:rPr>
      </w:pPr>
    </w:p>
    <w:p w:rsidR="00180461" w:rsidRDefault="00180461" w:rsidP="00DD67CF">
      <w:pPr>
        <w:spacing w:line="256" w:lineRule="auto"/>
        <w:jc w:val="center"/>
        <w:rPr>
          <w:rFonts w:asciiTheme="majorHAnsi" w:eastAsiaTheme="minorHAnsi" w:hAnsiTheme="majorHAnsi" w:cstheme="minorBidi"/>
          <w:i/>
        </w:rPr>
      </w:pPr>
      <w:r>
        <w:rPr>
          <w:rFonts w:asciiTheme="majorHAnsi" w:eastAsiaTheme="minorHAnsi" w:hAnsiTheme="majorHAnsi" w:cstheme="minorBidi"/>
          <w:i/>
          <w:noProof/>
        </w:rPr>
        <w:drawing>
          <wp:inline distT="0" distB="0" distL="0" distR="0">
            <wp:extent cx="494030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S LOGO FINAL.jpg"/>
                    <pic:cNvPicPr/>
                  </pic:nvPicPr>
                  <pic:blipFill>
                    <a:blip r:embed="rId4">
                      <a:extLst>
                        <a:ext uri="{28A0092B-C50C-407E-A947-70E740481C1C}">
                          <a14:useLocalDpi xmlns:a14="http://schemas.microsoft.com/office/drawing/2010/main" val="0"/>
                        </a:ext>
                      </a:extLst>
                    </a:blip>
                    <a:stretch>
                      <a:fillRect/>
                    </a:stretch>
                  </pic:blipFill>
                  <pic:spPr>
                    <a:xfrm>
                      <a:off x="0" y="0"/>
                      <a:ext cx="4940300" cy="981075"/>
                    </a:xfrm>
                    <a:prstGeom prst="rect">
                      <a:avLst/>
                    </a:prstGeom>
                  </pic:spPr>
                </pic:pic>
              </a:graphicData>
            </a:graphic>
          </wp:inline>
        </w:drawing>
      </w:r>
    </w:p>
    <w:p w:rsidR="00180461" w:rsidRDefault="00180461" w:rsidP="00DD67CF">
      <w:pPr>
        <w:spacing w:line="256" w:lineRule="auto"/>
        <w:jc w:val="center"/>
        <w:rPr>
          <w:rFonts w:asciiTheme="majorHAnsi" w:eastAsiaTheme="minorHAnsi" w:hAnsiTheme="majorHAnsi" w:cstheme="minorBidi"/>
          <w:i/>
        </w:rPr>
      </w:pPr>
    </w:p>
    <w:p w:rsidR="00DD67CF" w:rsidRDefault="00DD67CF" w:rsidP="00DD67CF">
      <w:pPr>
        <w:jc w:val="center"/>
        <w:rPr>
          <w:b/>
          <w:i/>
          <w:sz w:val="28"/>
          <w:szCs w:val="28"/>
        </w:rPr>
      </w:pPr>
      <w:r>
        <w:rPr>
          <w:b/>
          <w:i/>
          <w:sz w:val="28"/>
          <w:szCs w:val="28"/>
        </w:rPr>
        <w:t>Resolution</w:t>
      </w:r>
      <w:r w:rsidR="00180461">
        <w:rPr>
          <w:b/>
          <w:i/>
          <w:sz w:val="28"/>
          <w:szCs w:val="28"/>
        </w:rPr>
        <w:t xml:space="preserve"> 04 - 2016</w:t>
      </w:r>
    </w:p>
    <w:p w:rsidR="00DD67CF" w:rsidRDefault="00DD67CF" w:rsidP="00DD67CF">
      <w:pPr>
        <w:jc w:val="center"/>
      </w:pPr>
      <w:r>
        <w:rPr>
          <w:b/>
        </w:rPr>
        <w:t>As concerns Iron Mining Association</w:t>
      </w:r>
      <w:r w:rsidR="004B0A87">
        <w:rPr>
          <w:b/>
        </w:rPr>
        <w:t>’s Energy Intensive – Trade Exposed (EITE)</w:t>
      </w:r>
    </w:p>
    <w:p w:rsidR="00DD67CF" w:rsidRDefault="00DD67CF" w:rsidP="00DD67CF">
      <w:pPr>
        <w:jc w:val="center"/>
      </w:pPr>
    </w:p>
    <w:p w:rsidR="00DD67CF" w:rsidRDefault="00DD67CF" w:rsidP="00DD67CF">
      <w:pPr>
        <w:jc w:val="center"/>
      </w:pPr>
    </w:p>
    <w:p w:rsidR="004B0A87" w:rsidRPr="002A514B" w:rsidRDefault="00DD67CF" w:rsidP="004B0A87">
      <w:pPr>
        <w:jc w:val="both"/>
        <w:rPr>
          <w:sz w:val="22"/>
          <w:szCs w:val="22"/>
        </w:rPr>
      </w:pPr>
      <w:r w:rsidRPr="002A514B">
        <w:rPr>
          <w:i/>
          <w:sz w:val="22"/>
          <w:szCs w:val="22"/>
        </w:rPr>
        <w:t>WHEREAS:</w:t>
      </w:r>
      <w:r w:rsidRPr="002A514B">
        <w:rPr>
          <w:sz w:val="22"/>
          <w:szCs w:val="22"/>
        </w:rPr>
        <w:t xml:space="preserve"> </w:t>
      </w:r>
      <w:r w:rsidR="00DF7344" w:rsidRPr="002A514B">
        <w:rPr>
          <w:sz w:val="22"/>
          <w:szCs w:val="22"/>
        </w:rPr>
        <w:t xml:space="preserve"> </w:t>
      </w:r>
      <w:r w:rsidR="004B0A87" w:rsidRPr="002A514B">
        <w:rPr>
          <w:sz w:val="22"/>
          <w:szCs w:val="22"/>
        </w:rPr>
        <w:t>Minnesota Power has refiled an Energy Intensive – Trade Exposed (EITE) electric rate with the Public Utilities Commission, which will help balance costs for large industrial power users that operate in highly competitive trade markets;</w:t>
      </w:r>
    </w:p>
    <w:p w:rsidR="00DF7344" w:rsidRPr="002A514B" w:rsidRDefault="00DF7344" w:rsidP="004B0A87">
      <w:pPr>
        <w:jc w:val="both"/>
        <w:rPr>
          <w:i/>
          <w:sz w:val="22"/>
          <w:szCs w:val="22"/>
        </w:rPr>
      </w:pPr>
    </w:p>
    <w:p w:rsidR="004B0A87" w:rsidRPr="002A514B" w:rsidRDefault="00DF7344" w:rsidP="004B0A87">
      <w:pPr>
        <w:jc w:val="both"/>
        <w:rPr>
          <w:sz w:val="22"/>
          <w:szCs w:val="22"/>
        </w:rPr>
      </w:pPr>
      <w:r w:rsidRPr="002A514B">
        <w:rPr>
          <w:i/>
          <w:sz w:val="22"/>
          <w:szCs w:val="22"/>
        </w:rPr>
        <w:t xml:space="preserve">WHEREAS:  </w:t>
      </w:r>
      <w:r w:rsidR="004B0A87" w:rsidRPr="002A514B">
        <w:rPr>
          <w:sz w:val="22"/>
          <w:szCs w:val="22"/>
        </w:rPr>
        <w:t>Minnesota’s iron mining industry is trade exposed, such that global market forces resulted in the idling of over half of iron ore mines in Northeastern Minnesota in 2015, and today, 45% are still idled and over 1,000 miners remain laid off;</w:t>
      </w:r>
    </w:p>
    <w:p w:rsidR="00DF7344" w:rsidRPr="002A514B" w:rsidRDefault="00DF7344" w:rsidP="004B0A87">
      <w:pPr>
        <w:rPr>
          <w:i/>
          <w:sz w:val="22"/>
          <w:szCs w:val="22"/>
        </w:rPr>
      </w:pPr>
    </w:p>
    <w:p w:rsidR="004B0A87" w:rsidRPr="002A514B" w:rsidRDefault="00180461" w:rsidP="004B0A87">
      <w:pPr>
        <w:rPr>
          <w:sz w:val="22"/>
          <w:szCs w:val="22"/>
        </w:rPr>
      </w:pPr>
      <w:r w:rsidRPr="002A514B">
        <w:rPr>
          <w:i/>
          <w:sz w:val="22"/>
          <w:szCs w:val="22"/>
        </w:rPr>
        <w:t xml:space="preserve">WHEREAS: </w:t>
      </w:r>
      <w:r w:rsidRPr="002A514B">
        <w:rPr>
          <w:sz w:val="22"/>
          <w:szCs w:val="22"/>
        </w:rPr>
        <w:t>RAMS</w:t>
      </w:r>
      <w:r w:rsidR="004B0A87" w:rsidRPr="002A514B">
        <w:rPr>
          <w:sz w:val="22"/>
          <w:szCs w:val="22"/>
        </w:rPr>
        <w:t xml:space="preserve"> wants to help the iron ore industry remain successful and cost competitive in the global marketplace and protect jobs in Northeastern Minnesota;  </w:t>
      </w:r>
    </w:p>
    <w:p w:rsidR="004B0A87" w:rsidRPr="002A514B" w:rsidRDefault="004B0A87" w:rsidP="004B0A87">
      <w:pPr>
        <w:rPr>
          <w:sz w:val="22"/>
          <w:szCs w:val="22"/>
        </w:rPr>
      </w:pPr>
    </w:p>
    <w:p w:rsidR="004B0A87" w:rsidRPr="002A514B" w:rsidRDefault="00DF7344" w:rsidP="004B0A87">
      <w:pPr>
        <w:jc w:val="both"/>
        <w:rPr>
          <w:sz w:val="22"/>
          <w:szCs w:val="22"/>
        </w:rPr>
      </w:pPr>
      <w:r w:rsidRPr="002A514B">
        <w:rPr>
          <w:i/>
          <w:sz w:val="22"/>
          <w:szCs w:val="22"/>
        </w:rPr>
        <w:t xml:space="preserve">WHEREAS: </w:t>
      </w:r>
      <w:r w:rsidR="004B0A87" w:rsidRPr="002A514B">
        <w:rPr>
          <w:sz w:val="22"/>
          <w:szCs w:val="22"/>
        </w:rPr>
        <w:t xml:space="preserve"> </w:t>
      </w:r>
      <w:r w:rsidR="00180461" w:rsidRPr="002A514B">
        <w:rPr>
          <w:sz w:val="22"/>
          <w:szCs w:val="22"/>
        </w:rPr>
        <w:t xml:space="preserve">RAMS </w:t>
      </w:r>
      <w:r w:rsidR="004B0A87" w:rsidRPr="002A514B">
        <w:rPr>
          <w:sz w:val="22"/>
          <w:szCs w:val="22"/>
        </w:rPr>
        <w:t xml:space="preserve">understands that energy accounts for approximately 25% of the cost to produce iron ore pellets and cost reductions are necessary for Minnesota iron ore mines to remain globally competitive. Energy costs for Minnesota’s iron ore mines have been on an increasing trend, even as the industry has invested its own money for energy efficiency projects; </w:t>
      </w:r>
    </w:p>
    <w:p w:rsidR="00DF7344" w:rsidRPr="002A514B" w:rsidRDefault="00DF7344" w:rsidP="004B0A87">
      <w:pPr>
        <w:jc w:val="both"/>
        <w:rPr>
          <w:i/>
          <w:sz w:val="22"/>
          <w:szCs w:val="22"/>
        </w:rPr>
      </w:pPr>
    </w:p>
    <w:p w:rsidR="004B0A87" w:rsidRPr="002A514B" w:rsidRDefault="00DF7344" w:rsidP="004B0A87">
      <w:pPr>
        <w:jc w:val="both"/>
        <w:rPr>
          <w:sz w:val="22"/>
          <w:szCs w:val="22"/>
        </w:rPr>
      </w:pPr>
      <w:r w:rsidRPr="002A514B">
        <w:rPr>
          <w:i/>
          <w:sz w:val="22"/>
          <w:szCs w:val="22"/>
        </w:rPr>
        <w:t xml:space="preserve">WHEREAS:  </w:t>
      </w:r>
      <w:r w:rsidR="004B0A87" w:rsidRPr="002A514B">
        <w:rPr>
          <w:sz w:val="22"/>
          <w:szCs w:val="22"/>
        </w:rPr>
        <w:t xml:space="preserve">Minnesota Power recognizes </w:t>
      </w:r>
      <w:r w:rsidR="00602DCE" w:rsidRPr="002A514B">
        <w:rPr>
          <w:sz w:val="22"/>
          <w:szCs w:val="22"/>
        </w:rPr>
        <w:t>the purpose of the EITE rate is</w:t>
      </w:r>
      <w:r w:rsidR="004B0A87" w:rsidRPr="002A514B">
        <w:rPr>
          <w:sz w:val="22"/>
          <w:szCs w:val="22"/>
        </w:rPr>
        <w:t xml:space="preserve"> to promote a healthy and stable economy, which is a shared priority for the </w:t>
      </w:r>
      <w:r w:rsidR="00180461" w:rsidRPr="002A514B">
        <w:rPr>
          <w:sz w:val="22"/>
          <w:szCs w:val="22"/>
        </w:rPr>
        <w:t>Taconite Assistance Area (TAA);</w:t>
      </w:r>
      <w:r w:rsidR="004B0A87" w:rsidRPr="002A514B">
        <w:rPr>
          <w:sz w:val="22"/>
          <w:szCs w:val="22"/>
        </w:rPr>
        <w:t xml:space="preserve">  </w:t>
      </w:r>
    </w:p>
    <w:p w:rsidR="00602DCE" w:rsidRPr="002A514B" w:rsidRDefault="00602DCE" w:rsidP="004B0A87">
      <w:pPr>
        <w:jc w:val="both"/>
        <w:rPr>
          <w:sz w:val="22"/>
          <w:szCs w:val="22"/>
        </w:rPr>
      </w:pPr>
    </w:p>
    <w:p w:rsidR="004B0A87" w:rsidRPr="002A514B" w:rsidRDefault="00602DCE" w:rsidP="004B0A87">
      <w:pPr>
        <w:rPr>
          <w:sz w:val="22"/>
          <w:szCs w:val="22"/>
        </w:rPr>
      </w:pPr>
      <w:r w:rsidRPr="002A514B">
        <w:rPr>
          <w:i/>
          <w:sz w:val="22"/>
          <w:szCs w:val="22"/>
        </w:rPr>
        <w:t>WHEREAS:</w:t>
      </w:r>
      <w:r w:rsidR="004B0A87" w:rsidRPr="002A514B">
        <w:rPr>
          <w:i/>
          <w:sz w:val="22"/>
          <w:szCs w:val="22"/>
        </w:rPr>
        <w:t xml:space="preserve"> </w:t>
      </w:r>
      <w:r w:rsidR="004B0A87" w:rsidRPr="002A514B">
        <w:rPr>
          <w:sz w:val="22"/>
          <w:szCs w:val="22"/>
        </w:rPr>
        <w:t>the taconi</w:t>
      </w:r>
      <w:bookmarkStart w:id="0" w:name="_GoBack"/>
      <w:bookmarkEnd w:id="0"/>
      <w:r w:rsidR="004B0A87" w:rsidRPr="002A514B">
        <w:rPr>
          <w:sz w:val="22"/>
          <w:szCs w:val="22"/>
        </w:rPr>
        <w:t>te sector accounts for a third of the economy in Northeast Minnesota.</w:t>
      </w:r>
    </w:p>
    <w:p w:rsidR="004B0A87" w:rsidRPr="002A514B" w:rsidRDefault="004B0A87" w:rsidP="004B0A87">
      <w:pPr>
        <w:rPr>
          <w:sz w:val="22"/>
          <w:szCs w:val="22"/>
        </w:rPr>
      </w:pPr>
    </w:p>
    <w:p w:rsidR="004B0A87" w:rsidRPr="002A514B" w:rsidRDefault="00DF7344" w:rsidP="004B0A87">
      <w:pPr>
        <w:rPr>
          <w:sz w:val="22"/>
          <w:szCs w:val="22"/>
        </w:rPr>
      </w:pPr>
      <w:r w:rsidRPr="002A514B">
        <w:rPr>
          <w:i/>
          <w:sz w:val="22"/>
          <w:szCs w:val="22"/>
        </w:rPr>
        <w:t xml:space="preserve">WHEREAS: </w:t>
      </w:r>
      <w:r w:rsidR="00180461" w:rsidRPr="002A514B">
        <w:rPr>
          <w:sz w:val="22"/>
          <w:szCs w:val="22"/>
        </w:rPr>
        <w:t>RAMS</w:t>
      </w:r>
      <w:r w:rsidR="00180461" w:rsidRPr="002A514B">
        <w:rPr>
          <w:i/>
          <w:sz w:val="22"/>
          <w:szCs w:val="22"/>
        </w:rPr>
        <w:t xml:space="preserve"> </w:t>
      </w:r>
      <w:r w:rsidR="004B0A87" w:rsidRPr="002A514B">
        <w:rPr>
          <w:sz w:val="22"/>
          <w:szCs w:val="22"/>
        </w:rPr>
        <w:t>understands that this filing will affect residential rate payers and other commercial rate payers;</w:t>
      </w:r>
    </w:p>
    <w:p w:rsidR="004B0A87" w:rsidRPr="002A514B" w:rsidRDefault="004B0A87" w:rsidP="004B0A87">
      <w:pPr>
        <w:rPr>
          <w:sz w:val="22"/>
          <w:szCs w:val="22"/>
        </w:rPr>
      </w:pPr>
    </w:p>
    <w:p w:rsidR="004B0A87" w:rsidRPr="002A514B" w:rsidRDefault="00DF7344" w:rsidP="004B0A87">
      <w:pPr>
        <w:jc w:val="both"/>
        <w:rPr>
          <w:sz w:val="22"/>
          <w:szCs w:val="22"/>
        </w:rPr>
      </w:pPr>
      <w:r w:rsidRPr="002A514B">
        <w:rPr>
          <w:i/>
          <w:sz w:val="22"/>
          <w:szCs w:val="22"/>
        </w:rPr>
        <w:t xml:space="preserve">WHEREAS:  </w:t>
      </w:r>
      <w:r w:rsidR="004B0A87" w:rsidRPr="002A514B">
        <w:rPr>
          <w:sz w:val="22"/>
          <w:szCs w:val="22"/>
        </w:rPr>
        <w:t>Minnesota’s iron mines provide 13,000 jobs in Northeastern Minnesota;</w:t>
      </w:r>
    </w:p>
    <w:p w:rsidR="00DF7344" w:rsidRPr="002A514B" w:rsidRDefault="00DF7344" w:rsidP="004B0A87">
      <w:pPr>
        <w:rPr>
          <w:i/>
          <w:sz w:val="22"/>
          <w:szCs w:val="22"/>
        </w:rPr>
      </w:pPr>
    </w:p>
    <w:p w:rsidR="004B0A87" w:rsidRPr="002A514B" w:rsidRDefault="00DF7344" w:rsidP="004B0A87">
      <w:pPr>
        <w:rPr>
          <w:sz w:val="22"/>
          <w:szCs w:val="22"/>
        </w:rPr>
      </w:pPr>
      <w:r w:rsidRPr="002A514B">
        <w:rPr>
          <w:i/>
          <w:sz w:val="22"/>
          <w:szCs w:val="22"/>
        </w:rPr>
        <w:t xml:space="preserve">WHEREAS:  </w:t>
      </w:r>
      <w:r w:rsidR="004B0A87" w:rsidRPr="002A514B">
        <w:rPr>
          <w:sz w:val="22"/>
          <w:szCs w:val="22"/>
        </w:rPr>
        <w:t>Minnesota’s iron mines pay $188 million in taxes and royalties.</w:t>
      </w:r>
    </w:p>
    <w:p w:rsidR="004B0A87" w:rsidRPr="002A514B" w:rsidRDefault="004B0A87" w:rsidP="004B0A87">
      <w:pPr>
        <w:rPr>
          <w:sz w:val="22"/>
          <w:szCs w:val="22"/>
        </w:rPr>
      </w:pPr>
    </w:p>
    <w:p w:rsidR="004B0A87" w:rsidRPr="002A514B" w:rsidRDefault="00DF7344" w:rsidP="004B0A87">
      <w:pPr>
        <w:rPr>
          <w:sz w:val="22"/>
          <w:szCs w:val="22"/>
        </w:rPr>
      </w:pPr>
      <w:r w:rsidRPr="002A514B">
        <w:rPr>
          <w:i/>
          <w:sz w:val="22"/>
          <w:szCs w:val="22"/>
        </w:rPr>
        <w:t>NOW, THEREFORE BE IT RESOLVED:</w:t>
      </w:r>
      <w:r w:rsidRPr="002A514B">
        <w:rPr>
          <w:b/>
          <w:sz w:val="22"/>
          <w:szCs w:val="22"/>
        </w:rPr>
        <w:t xml:space="preserve"> </w:t>
      </w:r>
      <w:r w:rsidRPr="002A514B">
        <w:rPr>
          <w:sz w:val="22"/>
          <w:szCs w:val="22"/>
        </w:rPr>
        <w:t>that the</w:t>
      </w:r>
      <w:r w:rsidR="00180461" w:rsidRPr="002A514B">
        <w:rPr>
          <w:sz w:val="22"/>
          <w:szCs w:val="22"/>
        </w:rPr>
        <w:t xml:space="preserve"> RAMS board of directors</w:t>
      </w:r>
      <w:r w:rsidR="009D36E3" w:rsidRPr="002A514B">
        <w:rPr>
          <w:sz w:val="22"/>
          <w:szCs w:val="22"/>
        </w:rPr>
        <w:t xml:space="preserve"> </w:t>
      </w:r>
      <w:r w:rsidRPr="002A514B">
        <w:rPr>
          <w:sz w:val="22"/>
          <w:szCs w:val="22"/>
        </w:rPr>
        <w:t xml:space="preserve">considers </w:t>
      </w:r>
      <w:r w:rsidR="004B0A87" w:rsidRPr="002A514B">
        <w:rPr>
          <w:sz w:val="22"/>
          <w:szCs w:val="22"/>
        </w:rPr>
        <w:t xml:space="preserve">the EITE rate an important component to balancing power costs and keeping local mines globally competitive so </w:t>
      </w:r>
      <w:r w:rsidR="003A1FD4" w:rsidRPr="002A514B">
        <w:rPr>
          <w:sz w:val="22"/>
          <w:szCs w:val="22"/>
        </w:rPr>
        <w:t xml:space="preserve">that </w:t>
      </w:r>
      <w:r w:rsidR="004B0A87" w:rsidRPr="002A514B">
        <w:rPr>
          <w:sz w:val="22"/>
          <w:szCs w:val="22"/>
        </w:rPr>
        <w:t>they can continue to provide g</w:t>
      </w:r>
      <w:r w:rsidR="003A1FD4" w:rsidRPr="002A514B">
        <w:rPr>
          <w:sz w:val="22"/>
          <w:szCs w:val="22"/>
        </w:rPr>
        <w:t>ood paying jobs and contribute</w:t>
      </w:r>
      <w:r w:rsidR="004B0A87" w:rsidRPr="002A514B">
        <w:rPr>
          <w:sz w:val="22"/>
          <w:szCs w:val="22"/>
        </w:rPr>
        <w:t xml:space="preserve"> to the economy of Northeastern Minnesota; and, based on the reasons listed above, we support the Energy Intensive Trade Exposed (EITE)</w:t>
      </w:r>
      <w:r w:rsidRPr="002A514B">
        <w:rPr>
          <w:sz w:val="22"/>
          <w:szCs w:val="22"/>
        </w:rPr>
        <w:t xml:space="preserve"> </w:t>
      </w:r>
      <w:r w:rsidR="004B0A87" w:rsidRPr="002A514B">
        <w:rPr>
          <w:sz w:val="22"/>
          <w:szCs w:val="22"/>
        </w:rPr>
        <w:t xml:space="preserve">rate filing.  </w:t>
      </w:r>
    </w:p>
    <w:p w:rsidR="00DD67CF" w:rsidRPr="002A514B" w:rsidRDefault="00DD67CF" w:rsidP="00DD67CF">
      <w:pPr>
        <w:rPr>
          <w:sz w:val="22"/>
          <w:szCs w:val="22"/>
        </w:rPr>
      </w:pPr>
    </w:p>
    <w:p w:rsidR="00DD67CF" w:rsidRPr="002A514B" w:rsidRDefault="00DD67CF" w:rsidP="00DD67CF">
      <w:pPr>
        <w:rPr>
          <w:sz w:val="22"/>
          <w:szCs w:val="22"/>
        </w:rPr>
      </w:pPr>
    </w:p>
    <w:p w:rsidR="00180461" w:rsidRPr="002A514B" w:rsidRDefault="00DD67CF" w:rsidP="00DD67CF">
      <w:pPr>
        <w:rPr>
          <w:sz w:val="22"/>
          <w:szCs w:val="22"/>
        </w:rPr>
      </w:pPr>
      <w:r w:rsidRPr="002A514B">
        <w:rPr>
          <w:sz w:val="22"/>
          <w:szCs w:val="22"/>
        </w:rPr>
        <w:t>________________________________________</w:t>
      </w:r>
      <w:r w:rsidRPr="002A514B">
        <w:rPr>
          <w:sz w:val="22"/>
          <w:szCs w:val="22"/>
        </w:rPr>
        <w:tab/>
      </w:r>
      <w:r w:rsidRPr="002A514B">
        <w:rPr>
          <w:sz w:val="22"/>
          <w:szCs w:val="22"/>
        </w:rPr>
        <w:tab/>
      </w:r>
      <w:r w:rsidR="00180461" w:rsidRPr="002A514B">
        <w:rPr>
          <w:sz w:val="22"/>
          <w:szCs w:val="22"/>
        </w:rPr>
        <w:t>Dated: August 25, 2016</w:t>
      </w:r>
    </w:p>
    <w:p w:rsidR="00052CF5" w:rsidRPr="002A514B" w:rsidRDefault="00180461">
      <w:pPr>
        <w:rPr>
          <w:sz w:val="22"/>
          <w:szCs w:val="22"/>
        </w:rPr>
      </w:pPr>
      <w:r w:rsidRPr="002A514B">
        <w:rPr>
          <w:sz w:val="22"/>
          <w:szCs w:val="22"/>
        </w:rPr>
        <w:t xml:space="preserve">Paul </w:t>
      </w:r>
      <w:proofErr w:type="spellStart"/>
      <w:r w:rsidRPr="002A514B">
        <w:rPr>
          <w:sz w:val="22"/>
          <w:szCs w:val="22"/>
        </w:rPr>
        <w:t>Kess</w:t>
      </w:r>
      <w:proofErr w:type="spellEnd"/>
      <w:r w:rsidRPr="002A514B">
        <w:rPr>
          <w:sz w:val="22"/>
          <w:szCs w:val="22"/>
        </w:rPr>
        <w:t>, President</w:t>
      </w:r>
      <w:r w:rsidRPr="002A514B">
        <w:rPr>
          <w:sz w:val="22"/>
          <w:szCs w:val="22"/>
        </w:rPr>
        <w:tab/>
      </w:r>
      <w:r w:rsidRPr="002A514B">
        <w:rPr>
          <w:sz w:val="22"/>
          <w:szCs w:val="22"/>
        </w:rPr>
        <w:tab/>
      </w:r>
      <w:r w:rsidRPr="002A514B">
        <w:rPr>
          <w:sz w:val="22"/>
          <w:szCs w:val="22"/>
        </w:rPr>
        <w:tab/>
      </w:r>
      <w:r w:rsidRPr="002A514B">
        <w:rPr>
          <w:sz w:val="22"/>
          <w:szCs w:val="22"/>
        </w:rPr>
        <w:tab/>
      </w:r>
      <w:r w:rsidRPr="002A514B">
        <w:rPr>
          <w:sz w:val="22"/>
          <w:szCs w:val="22"/>
        </w:rPr>
        <w:tab/>
      </w:r>
      <w:r w:rsidRPr="002A514B">
        <w:rPr>
          <w:sz w:val="22"/>
          <w:szCs w:val="22"/>
        </w:rPr>
        <w:tab/>
      </w:r>
    </w:p>
    <w:p w:rsidR="00180461" w:rsidRPr="002A514B" w:rsidRDefault="00180461">
      <w:pPr>
        <w:rPr>
          <w:sz w:val="22"/>
          <w:szCs w:val="22"/>
        </w:rPr>
      </w:pPr>
    </w:p>
    <w:p w:rsidR="002A514B" w:rsidRPr="002A514B" w:rsidRDefault="00180461">
      <w:pPr>
        <w:rPr>
          <w:sz w:val="22"/>
          <w:szCs w:val="22"/>
        </w:rPr>
      </w:pPr>
      <w:r w:rsidRPr="002A514B">
        <w:rPr>
          <w:sz w:val="22"/>
          <w:szCs w:val="22"/>
        </w:rPr>
        <w:t>Board Members Voting in Affirmative:</w:t>
      </w:r>
      <w:r w:rsidR="002A514B" w:rsidRPr="002A514B">
        <w:rPr>
          <w:sz w:val="22"/>
          <w:szCs w:val="22"/>
        </w:rPr>
        <w:t xml:space="preserve">  Dan </w:t>
      </w:r>
      <w:proofErr w:type="spellStart"/>
      <w:r w:rsidR="002A514B" w:rsidRPr="002A514B">
        <w:rPr>
          <w:sz w:val="22"/>
          <w:szCs w:val="22"/>
        </w:rPr>
        <w:t>Forsman</w:t>
      </w:r>
      <w:proofErr w:type="spellEnd"/>
      <w:r w:rsidR="002A514B" w:rsidRPr="002A514B">
        <w:rPr>
          <w:sz w:val="22"/>
          <w:szCs w:val="22"/>
        </w:rPr>
        <w:t xml:space="preserve">, Ben </w:t>
      </w:r>
      <w:proofErr w:type="spellStart"/>
      <w:r w:rsidR="002A514B" w:rsidRPr="002A514B">
        <w:rPr>
          <w:sz w:val="22"/>
          <w:szCs w:val="22"/>
        </w:rPr>
        <w:t>DeNucci</w:t>
      </w:r>
      <w:proofErr w:type="spellEnd"/>
      <w:r w:rsidR="002A514B" w:rsidRPr="002A514B">
        <w:rPr>
          <w:sz w:val="22"/>
          <w:szCs w:val="22"/>
        </w:rPr>
        <w:t xml:space="preserve">, Mona </w:t>
      </w:r>
      <w:proofErr w:type="spellStart"/>
      <w:r w:rsidR="002A514B" w:rsidRPr="002A514B">
        <w:rPr>
          <w:sz w:val="22"/>
          <w:szCs w:val="22"/>
        </w:rPr>
        <w:t>Putzel</w:t>
      </w:r>
      <w:proofErr w:type="spellEnd"/>
      <w:r w:rsidR="002A514B" w:rsidRPr="002A514B">
        <w:rPr>
          <w:sz w:val="22"/>
          <w:szCs w:val="22"/>
        </w:rPr>
        <w:t xml:space="preserve">, Kevin </w:t>
      </w:r>
      <w:proofErr w:type="spellStart"/>
      <w:r w:rsidR="002A514B" w:rsidRPr="002A514B">
        <w:rPr>
          <w:sz w:val="22"/>
          <w:szCs w:val="22"/>
        </w:rPr>
        <w:t>Scaia</w:t>
      </w:r>
      <w:proofErr w:type="spellEnd"/>
      <w:r w:rsidR="002A514B" w:rsidRPr="002A514B">
        <w:rPr>
          <w:sz w:val="22"/>
          <w:szCs w:val="22"/>
        </w:rPr>
        <w:t xml:space="preserve">, Stu Lehman, Mark Skelton, Greg Allen, Ed </w:t>
      </w:r>
      <w:proofErr w:type="spellStart"/>
      <w:r w:rsidR="002A514B" w:rsidRPr="002A514B">
        <w:rPr>
          <w:sz w:val="22"/>
          <w:szCs w:val="22"/>
        </w:rPr>
        <w:t>Zabinski</w:t>
      </w:r>
      <w:proofErr w:type="spellEnd"/>
      <w:r w:rsidR="002A514B" w:rsidRPr="002A514B">
        <w:rPr>
          <w:sz w:val="22"/>
          <w:szCs w:val="22"/>
        </w:rPr>
        <w:t xml:space="preserve"> - 8</w:t>
      </w:r>
    </w:p>
    <w:p w:rsidR="00180461" w:rsidRPr="002A514B" w:rsidRDefault="00180461">
      <w:pPr>
        <w:rPr>
          <w:sz w:val="22"/>
          <w:szCs w:val="22"/>
        </w:rPr>
      </w:pPr>
      <w:r w:rsidRPr="002A514B">
        <w:rPr>
          <w:sz w:val="22"/>
          <w:szCs w:val="22"/>
        </w:rPr>
        <w:t xml:space="preserve">Board Members Voting in Opposition: </w:t>
      </w:r>
      <w:r w:rsidR="002A514B" w:rsidRPr="002A514B">
        <w:rPr>
          <w:sz w:val="22"/>
          <w:szCs w:val="22"/>
        </w:rPr>
        <w:t xml:space="preserve">Pat </w:t>
      </w:r>
      <w:proofErr w:type="spellStart"/>
      <w:r w:rsidR="002A514B" w:rsidRPr="002A514B">
        <w:rPr>
          <w:sz w:val="22"/>
          <w:szCs w:val="22"/>
        </w:rPr>
        <w:t>Garrity</w:t>
      </w:r>
      <w:proofErr w:type="spellEnd"/>
      <w:r w:rsidR="002A514B" w:rsidRPr="002A514B">
        <w:rPr>
          <w:sz w:val="22"/>
          <w:szCs w:val="22"/>
        </w:rPr>
        <w:t xml:space="preserve">, Ray </w:t>
      </w:r>
      <w:proofErr w:type="spellStart"/>
      <w:r w:rsidR="002A514B" w:rsidRPr="002A514B">
        <w:rPr>
          <w:sz w:val="22"/>
          <w:szCs w:val="22"/>
        </w:rPr>
        <w:t>Marsnik</w:t>
      </w:r>
      <w:proofErr w:type="spellEnd"/>
      <w:r w:rsidR="002A514B" w:rsidRPr="002A514B">
        <w:rPr>
          <w:sz w:val="22"/>
          <w:szCs w:val="22"/>
        </w:rPr>
        <w:t xml:space="preserve">, Carlene </w:t>
      </w:r>
      <w:proofErr w:type="spellStart"/>
      <w:r w:rsidR="002A514B" w:rsidRPr="002A514B">
        <w:rPr>
          <w:sz w:val="22"/>
          <w:szCs w:val="22"/>
        </w:rPr>
        <w:t>Perfetto</w:t>
      </w:r>
      <w:proofErr w:type="spellEnd"/>
      <w:r w:rsidR="002A514B" w:rsidRPr="002A514B">
        <w:rPr>
          <w:sz w:val="22"/>
          <w:szCs w:val="22"/>
        </w:rPr>
        <w:t xml:space="preserve">, Kim Stokes, Dave </w:t>
      </w:r>
      <w:proofErr w:type="spellStart"/>
      <w:r w:rsidR="002A514B" w:rsidRPr="002A514B">
        <w:rPr>
          <w:sz w:val="22"/>
          <w:szCs w:val="22"/>
        </w:rPr>
        <w:t>Worshek</w:t>
      </w:r>
      <w:proofErr w:type="spellEnd"/>
      <w:r w:rsidR="002A514B" w:rsidRPr="002A514B">
        <w:rPr>
          <w:sz w:val="22"/>
          <w:szCs w:val="22"/>
        </w:rPr>
        <w:t xml:space="preserve"> – 5</w:t>
      </w:r>
    </w:p>
    <w:p w:rsidR="002A514B" w:rsidRPr="002A514B" w:rsidRDefault="002A514B">
      <w:pPr>
        <w:rPr>
          <w:sz w:val="22"/>
          <w:szCs w:val="22"/>
        </w:rPr>
      </w:pPr>
      <w:r w:rsidRPr="002A514B">
        <w:rPr>
          <w:sz w:val="22"/>
          <w:szCs w:val="22"/>
        </w:rPr>
        <w:t xml:space="preserve">Board Members Abstaining:  Charlie </w:t>
      </w:r>
      <w:proofErr w:type="spellStart"/>
      <w:r w:rsidRPr="002A514B">
        <w:rPr>
          <w:sz w:val="22"/>
          <w:szCs w:val="22"/>
        </w:rPr>
        <w:t>Baribeau</w:t>
      </w:r>
      <w:proofErr w:type="spellEnd"/>
      <w:r w:rsidRPr="002A514B">
        <w:rPr>
          <w:sz w:val="22"/>
          <w:szCs w:val="22"/>
        </w:rPr>
        <w:t xml:space="preserve">, Bob </w:t>
      </w:r>
      <w:proofErr w:type="spellStart"/>
      <w:r w:rsidRPr="002A514B">
        <w:rPr>
          <w:sz w:val="22"/>
          <w:szCs w:val="22"/>
        </w:rPr>
        <w:t>Berrini</w:t>
      </w:r>
      <w:proofErr w:type="spellEnd"/>
      <w:r w:rsidRPr="002A514B">
        <w:rPr>
          <w:sz w:val="22"/>
          <w:szCs w:val="22"/>
        </w:rPr>
        <w:t xml:space="preserve"> - 2</w:t>
      </w:r>
    </w:p>
    <w:p w:rsidR="002A514B" w:rsidRPr="002A514B" w:rsidRDefault="002A514B">
      <w:pPr>
        <w:rPr>
          <w:sz w:val="22"/>
          <w:szCs w:val="22"/>
        </w:rPr>
      </w:pPr>
    </w:p>
    <w:sectPr w:rsidR="002A514B" w:rsidRPr="002A514B" w:rsidSect="00180461">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CF"/>
    <w:rsid w:val="00052CF5"/>
    <w:rsid w:val="00180461"/>
    <w:rsid w:val="002A514B"/>
    <w:rsid w:val="002D7C24"/>
    <w:rsid w:val="003A1FD4"/>
    <w:rsid w:val="004B0A87"/>
    <w:rsid w:val="005A6974"/>
    <w:rsid w:val="00602DCE"/>
    <w:rsid w:val="009D36E3"/>
    <w:rsid w:val="00B27478"/>
    <w:rsid w:val="00DD67CF"/>
    <w:rsid w:val="00DF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6FB951-ED08-405D-B157-EE671682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7CF"/>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67CF"/>
    <w:pPr>
      <w:spacing w:before="100" w:beforeAutospacing="1" w:after="100" w:afterAutospacing="1"/>
    </w:pPr>
  </w:style>
  <w:style w:type="paragraph" w:styleId="BalloonText">
    <w:name w:val="Balloon Text"/>
    <w:basedOn w:val="Normal"/>
    <w:link w:val="BalloonTextChar"/>
    <w:uiPriority w:val="99"/>
    <w:semiHidden/>
    <w:unhideWhenUsed/>
    <w:rsid w:val="00602DCE"/>
    <w:rPr>
      <w:rFonts w:ascii="Tahoma" w:hAnsi="Tahoma" w:cs="Tahoma"/>
      <w:sz w:val="16"/>
      <w:szCs w:val="16"/>
    </w:rPr>
  </w:style>
  <w:style w:type="character" w:customStyle="1" w:styleId="BalloonTextChar">
    <w:name w:val="Balloon Text Char"/>
    <w:basedOn w:val="DefaultParagraphFont"/>
    <w:link w:val="BalloonText"/>
    <w:uiPriority w:val="99"/>
    <w:semiHidden/>
    <w:rsid w:val="00602D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448239">
      <w:bodyDiv w:val="1"/>
      <w:marLeft w:val="0"/>
      <w:marRight w:val="0"/>
      <w:marTop w:val="0"/>
      <w:marBottom w:val="0"/>
      <w:divBdr>
        <w:top w:val="none" w:sz="0" w:space="0" w:color="auto"/>
        <w:left w:val="none" w:sz="0" w:space="0" w:color="auto"/>
        <w:bottom w:val="none" w:sz="0" w:space="0" w:color="auto"/>
        <w:right w:val="none" w:sz="0" w:space="0" w:color="auto"/>
      </w:divBdr>
    </w:div>
    <w:div w:id="14711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Collins</dc:creator>
  <cp:lastModifiedBy>Tim Riordan</cp:lastModifiedBy>
  <cp:revision>3</cp:revision>
  <dcterms:created xsi:type="dcterms:W3CDTF">2016-08-18T16:13:00Z</dcterms:created>
  <dcterms:modified xsi:type="dcterms:W3CDTF">2016-08-31T16:09:00Z</dcterms:modified>
</cp:coreProperties>
</file>